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lang w:val="en-US" w:eastAsia="zh-CN"/>
          <w14:textFill>
            <w14:solidFill>
              <w14:schemeClr w14:val="tx1"/>
            </w14:solidFill>
          </w14:textFill>
        </w:rPr>
        <w:t>控制科学与工程学院</w:t>
      </w:r>
      <w:r>
        <w:rPr>
          <w:rFonts w:hint="eastAsia" w:ascii="黑体" w:hAnsi="黑体" w:eastAsia="黑体"/>
          <w:color w:val="000000" w:themeColor="text1"/>
          <w:sz w:val="36"/>
          <w:szCs w:val="36"/>
          <w14:textFill>
            <w14:solidFill>
              <w14:schemeClr w14:val="tx1"/>
            </w14:solidFill>
          </w14:textFill>
        </w:rPr>
        <w:t>第</w:t>
      </w:r>
      <w:r>
        <w:rPr>
          <w:rFonts w:hint="eastAsia" w:ascii="黑体" w:hAnsi="黑体" w:eastAsia="黑体"/>
          <w:color w:val="000000" w:themeColor="text1"/>
          <w:sz w:val="36"/>
          <w:szCs w:val="36"/>
          <w:lang w:val="en-US" w:eastAsia="zh-CN"/>
          <w14:textFill>
            <w14:solidFill>
              <w14:schemeClr w14:val="tx1"/>
            </w14:solidFill>
          </w14:textFill>
        </w:rPr>
        <w:t>二</w:t>
      </w:r>
      <w:r>
        <w:rPr>
          <w:rFonts w:hint="eastAsia" w:ascii="黑体" w:hAnsi="黑体" w:eastAsia="黑体"/>
          <w:color w:val="000000" w:themeColor="text1"/>
          <w:sz w:val="36"/>
          <w:szCs w:val="36"/>
          <w14:textFill>
            <w14:solidFill>
              <w14:schemeClr w14:val="tx1"/>
            </w14:solidFill>
          </w14:textFill>
        </w:rPr>
        <w:t>次学生代表大会和</w:t>
      </w:r>
    </w:p>
    <w:p>
      <w:pPr>
        <w:ind w:left="0" w:leftChars="0" w:firstLine="0" w:firstLineChars="0"/>
        <w:jc w:val="center"/>
        <w:rPr>
          <w:rFonts w:ascii="黑体" w:hAnsi="黑体" w:eastAsia="黑体"/>
          <w:color w:val="000000" w:themeColor="text1"/>
          <w:sz w:val="36"/>
          <w:szCs w:val="36"/>
          <w14:textFill>
            <w14:solidFill>
              <w14:schemeClr w14:val="tx1"/>
            </w14:solidFill>
          </w14:textFill>
        </w:rPr>
      </w:pPr>
      <w:r>
        <w:rPr>
          <w:rFonts w:hint="eastAsia" w:ascii="黑体" w:hAnsi="黑体" w:eastAsia="黑体"/>
          <w:color w:val="000000" w:themeColor="text1"/>
          <w:sz w:val="36"/>
          <w:szCs w:val="36"/>
          <w14:textFill>
            <w14:solidFill>
              <w14:schemeClr w14:val="tx1"/>
            </w14:solidFill>
          </w14:textFill>
        </w:rPr>
        <w:t>第</w:t>
      </w:r>
      <w:r>
        <w:rPr>
          <w:rFonts w:hint="eastAsia" w:ascii="黑体" w:hAnsi="黑体" w:eastAsia="黑体"/>
          <w:color w:val="000000" w:themeColor="text1"/>
          <w:sz w:val="36"/>
          <w:szCs w:val="36"/>
          <w:lang w:val="en-US" w:eastAsia="zh-CN"/>
          <w14:textFill>
            <w14:solidFill>
              <w14:schemeClr w14:val="tx1"/>
            </w14:solidFill>
          </w14:textFill>
        </w:rPr>
        <w:t>二</w:t>
      </w:r>
      <w:r>
        <w:rPr>
          <w:rFonts w:hint="eastAsia" w:ascii="黑体" w:hAnsi="黑体" w:eastAsia="黑体"/>
          <w:color w:val="000000" w:themeColor="text1"/>
          <w:sz w:val="36"/>
          <w:szCs w:val="36"/>
          <w14:textFill>
            <w14:solidFill>
              <w14:schemeClr w14:val="tx1"/>
            </w14:solidFill>
          </w14:textFill>
        </w:rPr>
        <w:t>次研究生代表大会提案</w:t>
      </w:r>
    </w:p>
    <w:p>
      <w:pPr>
        <w:ind w:left="0" w:leftChars="0" w:firstLine="0" w:firstLineChars="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编号：</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83"/>
        <w:gridCol w:w="855"/>
        <w:gridCol w:w="2418"/>
        <w:gridCol w:w="1566"/>
        <w:gridCol w:w="2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2" w:hRule="atLeast"/>
          <w:jc w:val="center"/>
        </w:trPr>
        <w:tc>
          <w:tcPr>
            <w:tcW w:w="2138" w:type="dxa"/>
            <w:gridSpan w:val="2"/>
            <w:vAlign w:val="center"/>
          </w:tcPr>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提案人</w:t>
            </w:r>
          </w:p>
        </w:tc>
        <w:tc>
          <w:tcPr>
            <w:tcW w:w="2418" w:type="dxa"/>
            <w:vAlign w:val="center"/>
          </w:tcPr>
          <w:p>
            <w:pPr>
              <w:ind w:left="0" w:leftChars="0" w:firstLine="0" w:firstLineChars="0"/>
              <w:jc w:val="center"/>
              <w:rPr>
                <w:rFonts w:hint="default" w:eastAsia="宋体"/>
                <w:b/>
                <w:color w:val="000000" w:themeColor="text1"/>
                <w:lang w:val="en-US" w:eastAsia="zh-CN"/>
                <w14:textFill>
                  <w14:solidFill>
                    <w14:schemeClr w14:val="tx1"/>
                  </w14:solidFill>
                </w14:textFill>
              </w:rPr>
            </w:pPr>
            <w:r>
              <w:rPr>
                <w:rFonts w:hint="eastAsia"/>
                <w:b/>
                <w:color w:val="000000" w:themeColor="text1"/>
                <w:lang w:val="en-US" w:eastAsia="zh-CN"/>
                <w14:textFill>
                  <w14:solidFill>
                    <w14:schemeClr w14:val="tx1"/>
                  </w14:solidFill>
                </w14:textFill>
              </w:rPr>
              <w:t>XXX</w:t>
            </w:r>
          </w:p>
        </w:tc>
        <w:tc>
          <w:tcPr>
            <w:tcW w:w="1566" w:type="dxa"/>
            <w:vAlign w:val="center"/>
          </w:tcPr>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附议人</w:t>
            </w:r>
          </w:p>
        </w:tc>
        <w:tc>
          <w:tcPr>
            <w:tcW w:w="2100" w:type="dxa"/>
          </w:tcPr>
          <w:p>
            <w:pPr>
              <w:ind w:left="0" w:leftChars="0" w:firstLine="0" w:firstLineChars="0"/>
              <w:rPr>
                <w:b/>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3" w:hRule="atLeast"/>
          <w:jc w:val="center"/>
        </w:trPr>
        <w:tc>
          <w:tcPr>
            <w:tcW w:w="2138" w:type="dxa"/>
            <w:gridSpan w:val="2"/>
            <w:vAlign w:val="center"/>
          </w:tcPr>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提案人</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所在单位</w:t>
            </w:r>
          </w:p>
        </w:tc>
        <w:tc>
          <w:tcPr>
            <w:tcW w:w="2418" w:type="dxa"/>
            <w:vAlign w:val="center"/>
          </w:tcPr>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控制科学与工程学院</w:t>
            </w:r>
          </w:p>
        </w:tc>
        <w:tc>
          <w:tcPr>
            <w:tcW w:w="1566" w:type="dxa"/>
            <w:vAlign w:val="center"/>
          </w:tcPr>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提案人</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联系电话</w:t>
            </w:r>
          </w:p>
        </w:tc>
        <w:tc>
          <w:tcPr>
            <w:tcW w:w="2100" w:type="dxa"/>
          </w:tcPr>
          <w:p>
            <w:pPr>
              <w:ind w:left="0" w:leftChars="0" w:firstLine="0" w:firstLineChars="0"/>
              <w:rPr>
                <w:b/>
                <w:color w:val="000000" w:themeColor="text1"/>
                <w14:textFill>
                  <w14:solidFill>
                    <w14:schemeClr w14:val="tx1"/>
                  </w14:solidFill>
                </w14:textFill>
              </w:rPr>
            </w:pPr>
          </w:p>
          <w:p>
            <w:pPr>
              <w:ind w:left="0" w:leftChars="0" w:firstLine="0" w:firstLineChars="0"/>
              <w:rPr>
                <w:rFonts w:hint="default" w:eastAsia="宋体"/>
                <w:b/>
                <w:color w:val="000000" w:themeColor="text1"/>
                <w:lang w:val="en-US" w:eastAsia="zh-CN"/>
                <w14:textFill>
                  <w14:solidFill>
                    <w14:schemeClr w14:val="tx1"/>
                  </w14:solidFill>
                </w14:textFill>
              </w:rPr>
            </w:pPr>
            <w:r>
              <w:rPr>
                <w:rFonts w:hint="eastAsia"/>
                <w:b/>
                <w:color w:val="000000" w:themeColor="text1"/>
                <w:lang w:val="en-US" w:eastAsia="zh-CN"/>
                <w14:textFill>
                  <w14:solidFill>
                    <w14:schemeClr w14:val="tx1"/>
                  </w14:solidFill>
                </w14:textFill>
              </w:rPr>
              <w:t>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3" w:hRule="atLeast"/>
          <w:jc w:val="center"/>
        </w:trPr>
        <w:tc>
          <w:tcPr>
            <w:tcW w:w="1283" w:type="dxa"/>
            <w:vMerge w:val="restart"/>
            <w:vAlign w:val="center"/>
          </w:tcPr>
          <w:p>
            <w:pPr>
              <w:ind w:left="0" w:leftChars="0" w:firstLine="0" w:firstLineChars="0"/>
              <w:rPr>
                <w:b/>
                <w:color w:val="000000" w:themeColor="text1"/>
                <w14:textFill>
                  <w14:solidFill>
                    <w14:schemeClr w14:val="tx1"/>
                  </w14:solidFill>
                </w14:textFill>
              </w:rPr>
            </w:pP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提案内容</w:t>
            </w:r>
          </w:p>
        </w:tc>
        <w:tc>
          <w:tcPr>
            <w:tcW w:w="855" w:type="dxa"/>
            <w:vAlign w:val="center"/>
          </w:tcPr>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案</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名</w:t>
            </w:r>
          </w:p>
        </w:tc>
        <w:tc>
          <w:tcPr>
            <w:tcW w:w="6084" w:type="dxa"/>
            <w:gridSpan w:val="3"/>
          </w:tcPr>
          <w:p>
            <w:pPr>
              <w:ind w:left="0" w:leftChars="0" w:firstLine="422" w:firstLineChars="200"/>
              <w:rPr>
                <w:rFonts w:hint="eastAsia"/>
                <w:b/>
                <w:color w:val="000000" w:themeColor="text1"/>
                <w14:textFill>
                  <w14:solidFill>
                    <w14:schemeClr w14:val="tx1"/>
                  </w14:solidFill>
                </w14:textFill>
              </w:rPr>
            </w:pPr>
            <w:r>
              <w:rPr>
                <w:rFonts w:hint="eastAsia"/>
                <w:b/>
                <w:color w:val="000000" w:themeColor="text1"/>
                <w14:textFill>
                  <w14:solidFill>
                    <w14:schemeClr w14:val="tx1"/>
                  </w14:solidFill>
                </w14:textFill>
              </w:rPr>
              <w:t>关于调整大学课程安排的建议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7" w:hRule="atLeast"/>
          <w:jc w:val="center"/>
        </w:trPr>
        <w:tc>
          <w:tcPr>
            <w:tcW w:w="1283" w:type="dxa"/>
            <w:vMerge w:val="continue"/>
          </w:tcPr>
          <w:p>
            <w:pPr>
              <w:ind w:left="0" w:leftChars="0" w:firstLine="0" w:firstLineChars="0"/>
              <w:rPr>
                <w:b/>
                <w:color w:val="000000" w:themeColor="text1"/>
                <w14:textFill>
                  <w14:solidFill>
                    <w14:schemeClr w14:val="tx1"/>
                  </w14:solidFill>
                </w14:textFill>
              </w:rPr>
            </w:pPr>
          </w:p>
        </w:tc>
        <w:tc>
          <w:tcPr>
            <w:tcW w:w="855" w:type="dxa"/>
            <w:vAlign w:val="center"/>
          </w:tcPr>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案</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由</w:t>
            </w:r>
          </w:p>
        </w:tc>
        <w:tc>
          <w:tcPr>
            <w:tcW w:w="6084" w:type="dxa"/>
            <w:gridSpan w:val="3"/>
          </w:tcPr>
          <w:p>
            <w:pPr>
              <w:ind w:left="0" w:leftChars="0" w:firstLine="422" w:firstLineChars="200"/>
              <w:rPr>
                <w:rFonts w:hint="eastAsia"/>
                <w:b/>
                <w:color w:val="000000" w:themeColor="text1"/>
                <w14:textFill>
                  <w14:solidFill>
                    <w14:schemeClr w14:val="tx1"/>
                  </w14:solidFill>
                </w14:textFill>
              </w:rPr>
            </w:pPr>
            <w:r>
              <w:rPr>
                <w:rFonts w:hint="eastAsia"/>
                <w:b/>
                <w:color w:val="000000" w:themeColor="text1"/>
                <w14:textFill>
                  <w14:solidFill>
                    <w14:schemeClr w14:val="tx1"/>
                  </w14:solidFill>
                </w14:textFill>
              </w:rPr>
              <w:t>调研人员在控制科学与工程学院进行广泛调研后发现：自动化专业与测控专业在大一大二学年课程安排较多，进入大三学年以后课程安排较少。在新能源学院电气专业及理学院等部分院系专业中同样收到了类似反馈。根据《2020年中国大学生就业报告》，大学生在学好自身专业知识的同时进行多向学习更有利于就业及研究生报考。进行课程安排调整将使学生不局限于专业内容，更有利于进行综合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49" w:hRule="atLeast"/>
          <w:jc w:val="center"/>
        </w:trPr>
        <w:tc>
          <w:tcPr>
            <w:tcW w:w="1283" w:type="dxa"/>
            <w:vMerge w:val="continue"/>
          </w:tcPr>
          <w:p>
            <w:pPr>
              <w:ind w:left="0" w:leftChars="0" w:firstLine="0" w:firstLineChars="0"/>
              <w:rPr>
                <w:b/>
                <w:color w:val="000000" w:themeColor="text1"/>
                <w14:textFill>
                  <w14:solidFill>
                    <w14:schemeClr w14:val="tx1"/>
                  </w14:solidFill>
                </w14:textFill>
              </w:rPr>
            </w:pPr>
          </w:p>
        </w:tc>
        <w:tc>
          <w:tcPr>
            <w:tcW w:w="855" w:type="dxa"/>
            <w:vAlign w:val="center"/>
          </w:tcPr>
          <w:p>
            <w:pPr>
              <w:ind w:left="0" w:leftChars="0" w:firstLine="211" w:firstLineChars="100"/>
              <w:rPr>
                <w:b/>
                <w:color w:val="000000" w:themeColor="text1"/>
                <w14:textFill>
                  <w14:solidFill>
                    <w14:schemeClr w14:val="tx1"/>
                  </w14:solidFill>
                </w14:textFill>
              </w:rPr>
            </w:pPr>
            <w:r>
              <w:rPr>
                <w:rFonts w:hint="eastAsia"/>
                <w:b/>
                <w:color w:val="000000" w:themeColor="text1"/>
                <w14:textFill>
                  <w14:solidFill>
                    <w14:schemeClr w14:val="tx1"/>
                  </w14:solidFill>
                </w14:textFill>
              </w:rPr>
              <w:t>建</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议</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和</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措</w:t>
            </w:r>
          </w:p>
          <w:p>
            <w:pPr>
              <w:ind w:left="0" w:leftChars="0" w:firstLine="0" w:firstLineChars="0"/>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施</w:t>
            </w:r>
          </w:p>
        </w:tc>
        <w:tc>
          <w:tcPr>
            <w:tcW w:w="6084" w:type="dxa"/>
            <w:gridSpan w:val="3"/>
            <w:vAlign w:val="center"/>
          </w:tcPr>
          <w:p>
            <w:pPr>
              <w:ind w:left="0" w:leftChars="0" w:firstLine="0" w:firstLineChars="0"/>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一：将前二学年适当课程调整至大三学年</w:t>
            </w:r>
          </w:p>
          <w:p>
            <w:pPr>
              <w:ind w:left="0" w:leftChars="0" w:firstLine="0" w:firstLineChars="0"/>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大一大二学年大部分专业要进行高等数学，大学物理等基础课的学习，该类课程主要表现为:有一定的课程难度，课时占比较高，</w:t>
            </w:r>
          </w:p>
          <w:p>
            <w:pPr>
              <w:ind w:left="0" w:leftChars="0" w:firstLine="0" w:firstLineChars="0"/>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学生投入精力较多，难以在第一课堂学习的同时兼顾第二课堂活动，导致学生升入大三年级以后大量报名第二课堂活动来填补学时。这也间接导致第二课堂活动多而不精，同学们参加活动多是以获取学时为目的，难以真正学到知识。在不影响学生在大四学年进行毕业相关内容的同时适当调整科目至后续学年可以有效缓解学生学习压力，更加高效地进行学科竞赛，兴趣爱好等的发展。</w:t>
            </w:r>
          </w:p>
          <w:p>
            <w:pPr>
              <w:ind w:left="0" w:leftChars="0" w:firstLine="0" w:firstLineChars="0"/>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二：调整课程学习顺序</w:t>
            </w:r>
          </w:p>
          <w:p>
            <w:pPr>
              <w:ind w:left="0" w:leftChars="0" w:firstLine="0" w:firstLineChars="0"/>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调研人员在与电路分析学科老师交谈中了解到：理科实验班学生在一个学期内同时学习电路分析与模拟电子技术基础两门学科，而模拟电子技术基础是以电路分析为基础的专业课，部分学生在学习模电课中反映遇到一定的问题。学校在制定课表时应与相关专业老师进行更加深入的研讨，使大学期间所学习的课程承接性更加顺畅，方便学生进行专业学习。</w:t>
            </w:r>
          </w:p>
          <w:p>
            <w:pPr>
              <w:ind w:left="0" w:leftChars="0" w:firstLine="0" w:firstLineChars="0"/>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三：举办更多学科竞赛等第二课堂活动</w:t>
            </w:r>
          </w:p>
          <w:p>
            <w:pPr>
              <w:ind w:left="0" w:leftChars="0" w:firstLine="0" w:firstLineChars="0"/>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充分利用第二课堂可以提升学生在专业方面的硬实力与提前接触到就业相关内容，提高第二课堂活动举办质量与引进更多学科竞赛可以有效拓宽学生的专业视野，在日后职场上占据话语权。</w:t>
            </w:r>
          </w:p>
          <w:p>
            <w:pPr>
              <w:ind w:left="0" w:leftChars="0" w:firstLine="0" w:firstLineChars="0"/>
              <w:jc w:val="left"/>
              <w:rPr>
                <w:b/>
                <w:color w:val="000000" w:themeColor="text1"/>
                <w14:textFill>
                  <w14:solidFill>
                    <w14:schemeClr w14:val="tx1"/>
                  </w14:solidFill>
                </w14:textFill>
              </w:rPr>
            </w:pPr>
          </w:p>
          <w:p>
            <w:pPr>
              <w:ind w:left="0" w:leftChars="0" w:firstLine="0" w:firstLineChars="0"/>
              <w:jc w:val="left"/>
              <w:rPr>
                <w:b/>
                <w:color w:val="000000" w:themeColor="text1"/>
                <w14:textFill>
                  <w14:solidFill>
                    <w14:schemeClr w14:val="tx1"/>
                  </w14:solidFill>
                </w14:textFill>
              </w:rPr>
            </w:pPr>
          </w:p>
          <w:p>
            <w:pPr>
              <w:ind w:left="0" w:leftChars="0" w:firstLine="0" w:firstLineChars="0"/>
              <w:jc w:val="left"/>
              <w:rPr>
                <w:b/>
                <w:color w:val="000000" w:themeColor="text1"/>
                <w14:textFill>
                  <w14:solidFill>
                    <w14:schemeClr w14:val="tx1"/>
                  </w14:solidFill>
                </w14:textFill>
              </w:rPr>
            </w:pPr>
          </w:p>
          <w:p>
            <w:pPr>
              <w:ind w:left="0" w:leftChars="0" w:firstLine="0" w:firstLineChars="0"/>
              <w:jc w:val="left"/>
              <w:rPr>
                <w:b/>
                <w:color w:val="000000" w:themeColor="text1"/>
                <w14:textFill>
                  <w14:solidFill>
                    <w14:schemeClr w14:val="tx1"/>
                  </w14:solidFill>
                </w14:textFill>
              </w:rPr>
            </w:pPr>
          </w:p>
          <w:p>
            <w:pPr>
              <w:ind w:left="0" w:leftChars="0" w:firstLine="0" w:firstLineChars="0"/>
              <w:jc w:val="left"/>
              <w:rPr>
                <w:b/>
                <w:color w:val="000000" w:themeColor="text1"/>
                <w14:textFill>
                  <w14:solidFill>
                    <w14:schemeClr w14:val="tx1"/>
                  </w14:solidFill>
                </w14:textFill>
              </w:rPr>
            </w:pPr>
          </w:p>
          <w:p>
            <w:pPr>
              <w:ind w:left="0" w:leftChars="0" w:firstLine="0" w:firstLineChars="0"/>
              <w:jc w:val="left"/>
              <w:rPr>
                <w:b/>
                <w:color w:val="000000" w:themeColor="text1"/>
                <w14:textFill>
                  <w14:solidFill>
                    <w14:schemeClr w14:val="tx1"/>
                  </w14:solidFill>
                </w14:textFill>
              </w:rPr>
            </w:pPr>
          </w:p>
          <w:p>
            <w:pPr>
              <w:ind w:left="0" w:leftChars="0" w:right="844" w:firstLine="0" w:firstLineChars="0"/>
              <w:jc w:val="left"/>
              <w:rPr>
                <w:b/>
                <w:color w:val="000000" w:themeColor="text1"/>
                <w14:textFill>
                  <w14:solidFill>
                    <w14:schemeClr w14:val="tx1"/>
                  </w14:solidFill>
                </w14:textFill>
              </w:rPr>
            </w:pPr>
          </w:p>
          <w:p>
            <w:pPr>
              <w:wordWrap w:val="0"/>
              <w:ind w:left="0" w:leftChars="0" w:firstLine="0" w:firstLineChars="0"/>
              <w:jc w:val="right"/>
              <w:rPr>
                <w:b/>
                <w:color w:val="000000" w:themeColor="text1"/>
                <w14:textFill>
                  <w14:solidFill>
                    <w14:schemeClr w14:val="tx1"/>
                  </w14:solidFill>
                </w14:textFill>
              </w:rPr>
            </w:pPr>
            <w:r>
              <w:rPr>
                <w:rFonts w:hint="eastAsia"/>
                <w:b/>
                <w:color w:val="000000" w:themeColor="text1"/>
                <w:lang w:val="en-US" w:eastAsia="zh-CN"/>
                <w14:textFill>
                  <w14:solidFill>
                    <w14:schemeClr w14:val="tx1"/>
                  </w14:solidFill>
                </w14:textFill>
              </w:rPr>
              <w:t xml:space="preserve">       </w:t>
            </w:r>
            <w:r>
              <w:rPr>
                <w:rFonts w:hint="eastAsia"/>
                <w:b/>
                <w:color w:val="000000" w:themeColor="text1"/>
                <w14:textFill>
                  <w14:solidFill>
                    <w14:schemeClr w14:val="tx1"/>
                  </w14:solidFill>
                </w14:textFill>
              </w:rPr>
              <w:t xml:space="preserve">提案人： </w:t>
            </w:r>
            <w:r>
              <w:rPr>
                <w:rFonts w:hint="eastAsia"/>
                <w:b/>
                <w:color w:val="000000" w:themeColor="text1"/>
                <w:lang w:val="en-US" w:eastAsia="zh-CN"/>
                <w14:textFill>
                  <w14:solidFill>
                    <w14:schemeClr w14:val="tx1"/>
                  </w14:solidFill>
                </w14:textFill>
              </w:rPr>
              <w:t>XX</w:t>
            </w:r>
            <w:r>
              <w:rPr>
                <w:b/>
                <w:color w:val="000000" w:themeColor="text1"/>
                <w14:textFill>
                  <w14:solidFill>
                    <w14:schemeClr w14:val="tx1"/>
                  </w14:solidFill>
                </w14:textFill>
              </w:rPr>
              <w:t xml:space="preserve">    </w:t>
            </w:r>
          </w:p>
          <w:p>
            <w:pPr>
              <w:wordWrap w:val="0"/>
              <w:ind w:left="0" w:leftChars="0" w:firstLine="0" w:firstLineChars="0"/>
              <w:jc w:val="right"/>
              <w:rPr>
                <w:b/>
                <w:color w:val="000000" w:themeColor="text1"/>
                <w14:textFill>
                  <w14:solidFill>
                    <w14:schemeClr w14:val="tx1"/>
                  </w14:solidFill>
                </w14:textFill>
              </w:rPr>
            </w:pPr>
            <w:r>
              <w:rPr>
                <w:rFonts w:hint="eastAsia"/>
                <w:b/>
                <w:color w:val="000000" w:themeColor="text1"/>
                <w14:textFill>
                  <w14:solidFill>
                    <w14:schemeClr w14:val="tx1"/>
                  </w14:solidFill>
                </w14:textFill>
              </w:rPr>
              <w:t>2</w:t>
            </w:r>
            <w:r>
              <w:rPr>
                <w:b/>
                <w:color w:val="000000" w:themeColor="text1"/>
                <w14:textFill>
                  <w14:solidFill>
                    <w14:schemeClr w14:val="tx1"/>
                  </w14:solidFill>
                </w14:textFill>
              </w:rPr>
              <w:t>02</w:t>
            </w:r>
            <w:r>
              <w:rPr>
                <w:rFonts w:hint="eastAsia"/>
                <w:b/>
                <w:color w:val="000000" w:themeColor="text1"/>
                <w:lang w:val="en-US" w:eastAsia="zh-CN"/>
                <w14:textFill>
                  <w14:solidFill>
                    <w14:schemeClr w14:val="tx1"/>
                  </w14:solidFill>
                </w14:textFill>
              </w:rPr>
              <w:t>1</w:t>
            </w:r>
            <w:bookmarkStart w:id="0" w:name="_GoBack"/>
            <w:bookmarkEnd w:id="0"/>
            <w:r>
              <w:rPr>
                <w:rFonts w:hint="eastAsia"/>
                <w:b/>
                <w:color w:val="000000" w:themeColor="text1"/>
                <w14:textFill>
                  <w14:solidFill>
                    <w14:schemeClr w14:val="tx1"/>
                  </w14:solidFill>
                </w14:textFill>
              </w:rPr>
              <w:t xml:space="preserve">年 </w:t>
            </w:r>
            <w:r>
              <w:rPr>
                <w:rFonts w:hint="eastAsia"/>
                <w:b/>
                <w:color w:val="000000" w:themeColor="text1"/>
                <w:lang w:val="en-US" w:eastAsia="zh-CN"/>
                <w14:textFill>
                  <w14:solidFill>
                    <w14:schemeClr w14:val="tx1"/>
                  </w14:solidFill>
                </w14:textFill>
              </w:rPr>
              <w:t>XX</w:t>
            </w:r>
            <w:r>
              <w:rPr>
                <w:rFonts w:hint="eastAsia"/>
                <w:b/>
                <w:color w:val="000000" w:themeColor="text1"/>
                <w14:textFill>
                  <w14:solidFill>
                    <w14:schemeClr w14:val="tx1"/>
                  </w14:solidFill>
                </w14:textFill>
              </w:rPr>
              <w:t>月</w:t>
            </w:r>
            <w:r>
              <w:rPr>
                <w:rFonts w:hint="eastAsia"/>
                <w:b/>
                <w:color w:val="000000" w:themeColor="text1"/>
                <w:lang w:val="en-US" w:eastAsia="zh-CN"/>
                <w14:textFill>
                  <w14:solidFill>
                    <w14:schemeClr w14:val="tx1"/>
                  </w14:solidFill>
                </w14:textFill>
              </w:rPr>
              <w:t>XX</w:t>
            </w:r>
            <w:r>
              <w:rPr>
                <w:rFonts w:hint="eastAsia"/>
                <w:b/>
                <w:color w:val="000000" w:themeColor="text1"/>
                <w14:textFill>
                  <w14:solidFill>
                    <w14:schemeClr w14:val="tx1"/>
                  </w14:solidFill>
                </w14:textFill>
              </w:rPr>
              <w:t>日</w:t>
            </w:r>
          </w:p>
        </w:tc>
      </w:tr>
    </w:tbl>
    <w:p>
      <w:pPr>
        <w:pStyle w:val="8"/>
        <w:spacing w:before="0" w:beforeAutospacing="0" w:after="0" w:afterAutospacing="0" w:line="360" w:lineRule="auto"/>
        <w:ind w:left="1259" w:right="720"/>
        <w:jc w:val="right"/>
        <w:rPr>
          <w:rFonts w:cs="Tahoma"/>
          <w:color w:val="000000" w:themeColor="text1"/>
          <w14:textFill>
            <w14:solidFill>
              <w14:schemeClr w14:val="tx1"/>
            </w14:solidFill>
          </w14:textFill>
        </w:rPr>
      </w:pPr>
      <w:r>
        <w:rPr>
          <w:rFonts w:cs="Tahoma"/>
          <w:color w:val="000000" w:themeColor="text1"/>
          <w14:textFill>
            <w14:solidFill>
              <w14:schemeClr w14:val="tx1"/>
            </w14:solidFill>
          </w14:textFill>
        </w:rPr>
        <w:t>第</w:t>
      </w:r>
      <w:r>
        <w:rPr>
          <w:rFonts w:hint="eastAsia" w:cs="Tahoma"/>
          <w:color w:val="000000" w:themeColor="text1"/>
          <w:lang w:val="en-US" w:eastAsia="zh-CN"/>
          <w14:textFill>
            <w14:solidFill>
              <w14:schemeClr w14:val="tx1"/>
            </w14:solidFill>
          </w14:textFill>
        </w:rPr>
        <w:t>二</w:t>
      </w:r>
      <w:r>
        <w:rPr>
          <w:rFonts w:cs="Tahoma"/>
          <w:color w:val="000000" w:themeColor="text1"/>
          <w14:textFill>
            <w14:solidFill>
              <w14:schemeClr w14:val="tx1"/>
            </w14:solidFill>
          </w14:textFill>
        </w:rPr>
        <w:t>次学生代表大会</w:t>
      </w:r>
    </w:p>
    <w:p>
      <w:pPr>
        <w:pStyle w:val="8"/>
        <w:spacing w:before="0" w:beforeAutospacing="0" w:after="0" w:afterAutospacing="0" w:line="360" w:lineRule="auto"/>
        <w:ind w:left="1259"/>
        <w:jc w:val="right"/>
        <w:rPr>
          <w:rFonts w:cs="Tahoma"/>
          <w:color w:val="000000" w:themeColor="text1"/>
          <w14:textFill>
            <w14:solidFill>
              <w14:schemeClr w14:val="tx1"/>
            </w14:solidFill>
          </w14:textFill>
        </w:rPr>
      </w:pPr>
      <w:r>
        <w:rPr>
          <w:rFonts w:cs="Tahoma"/>
          <w:color w:val="000000" w:themeColor="text1"/>
          <w14:textFill>
            <w14:solidFill>
              <w14:schemeClr w14:val="tx1"/>
            </w14:solidFill>
          </w14:textFill>
        </w:rPr>
        <w:t>第</w:t>
      </w:r>
      <w:r>
        <w:rPr>
          <w:rFonts w:hint="eastAsia" w:cs="Tahoma"/>
          <w:color w:val="000000" w:themeColor="text1"/>
          <w:lang w:val="en-US" w:eastAsia="zh-CN"/>
          <w14:textFill>
            <w14:solidFill>
              <w14:schemeClr w14:val="tx1"/>
            </w14:solidFill>
          </w14:textFill>
        </w:rPr>
        <w:t>二</w:t>
      </w:r>
      <w:r>
        <w:rPr>
          <w:rFonts w:cs="Tahoma"/>
          <w:color w:val="000000" w:themeColor="text1"/>
          <w14:textFill>
            <w14:solidFill>
              <w14:schemeClr w14:val="tx1"/>
            </w14:solidFill>
          </w14:textFill>
        </w:rPr>
        <w:t>次研究生代表大会</w:t>
      </w:r>
      <w:r>
        <w:rPr>
          <w:rFonts w:hint="eastAsia" w:cs="Tahoma"/>
          <w:color w:val="000000" w:themeColor="text1"/>
          <w14:textFill>
            <w14:solidFill>
              <w14:schemeClr w14:val="tx1"/>
            </w14:solidFill>
          </w14:textFill>
        </w:rPr>
        <w:t>筹备工作委员会</w:t>
      </w:r>
    </w:p>
    <w:p>
      <w:pPr>
        <w:pStyle w:val="8"/>
        <w:spacing w:before="0" w:beforeAutospacing="0" w:after="0" w:afterAutospacing="0" w:line="360" w:lineRule="auto"/>
        <w:ind w:left="1259" w:right="1040" w:firstLine="157"/>
        <w:jc w:val="right"/>
        <w:rPr>
          <w:rFonts w:cs="Tahoma"/>
          <w:color w:val="000000" w:themeColor="text1"/>
          <w14:textFill>
            <w14:solidFill>
              <w14:schemeClr w14:val="tx1"/>
            </w14:solidFill>
          </w14:textFill>
        </w:rPr>
      </w:pPr>
      <w:r>
        <w:rPr>
          <w:rFonts w:cs="Tahoma"/>
          <w:color w:val="000000" w:themeColor="text1"/>
          <w14:textFill>
            <w14:solidFill>
              <w14:schemeClr w14:val="tx1"/>
            </w14:solidFill>
          </w14:textFill>
        </w:rPr>
        <w:t xml:space="preserve">  </w:t>
      </w:r>
      <w:r>
        <w:rPr>
          <w:rFonts w:hint="eastAsia" w:cs="Tahoma"/>
          <w:color w:val="000000" w:themeColor="text1"/>
          <w14:textFill>
            <w14:solidFill>
              <w14:schemeClr w14:val="tx1"/>
            </w14:solidFill>
          </w14:textFill>
        </w:rPr>
        <w:t>202</w:t>
      </w:r>
      <w:r>
        <w:rPr>
          <w:rFonts w:hint="eastAsia" w:cs="Tahoma"/>
          <w:color w:val="000000" w:themeColor="text1"/>
          <w:lang w:val="en-US" w:eastAsia="zh-CN"/>
          <w14:textFill>
            <w14:solidFill>
              <w14:schemeClr w14:val="tx1"/>
            </w14:solidFill>
          </w14:textFill>
        </w:rPr>
        <w:t>1</w:t>
      </w:r>
      <w:r>
        <w:rPr>
          <w:rFonts w:hint="eastAsia" w:cs="Tahoma"/>
          <w:color w:val="000000" w:themeColor="text1"/>
          <w14:textFill>
            <w14:solidFill>
              <w14:schemeClr w14:val="tx1"/>
            </w14:solidFill>
          </w14:textFill>
        </w:rPr>
        <w:t>年</w:t>
      </w:r>
      <w:r>
        <w:rPr>
          <w:rFonts w:hint="eastAsia" w:cs="Tahoma"/>
          <w:color w:val="000000" w:themeColor="text1"/>
          <w:lang w:val="en-US" w:eastAsia="zh-CN"/>
          <w14:textFill>
            <w14:solidFill>
              <w14:schemeClr w14:val="tx1"/>
            </w14:solidFill>
          </w14:textFill>
        </w:rPr>
        <w:t>XX</w:t>
      </w:r>
      <w:r>
        <w:rPr>
          <w:rFonts w:hint="eastAsia" w:cs="Tahoma"/>
          <w:color w:val="000000" w:themeColor="text1"/>
          <w14:textFill>
            <w14:solidFill>
              <w14:schemeClr w14:val="tx1"/>
            </w14:solidFill>
          </w14:textFill>
        </w:rPr>
        <w:t>月</w:t>
      </w:r>
      <w:r>
        <w:rPr>
          <w:rFonts w:hint="eastAsia" w:cs="Tahoma"/>
          <w:color w:val="000000" w:themeColor="text1"/>
          <w:lang w:val="en-US" w:eastAsia="zh-CN"/>
          <w14:textFill>
            <w14:solidFill>
              <w14:schemeClr w14:val="tx1"/>
            </w14:solidFill>
          </w14:textFill>
        </w:rPr>
        <w:t>XX</w:t>
      </w:r>
      <w:r>
        <w:rPr>
          <w:rFonts w:hint="eastAsia" w:cs="Tahoma"/>
          <w:color w:val="000000" w:themeColor="text1"/>
          <w14:textFill>
            <w14:solidFill>
              <w14:schemeClr w14:val="tx1"/>
            </w14:solidFill>
          </w14:textFill>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left="1260" w:firstLine="102"/>
      </w:pPr>
      <w:r>
        <w:separator/>
      </w:r>
    </w:p>
  </w:endnote>
  <w:endnote w:type="continuationSeparator" w:id="1">
    <w:p>
      <w:pPr>
        <w:ind w:left="1260" w:firstLine="10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粗黑宋简体">
    <w:altName w:val="宋体"/>
    <w:panose1 w:val="02000000000000000000"/>
    <w:charset w:val="86"/>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left="1260" w:firstLine="102"/>
      </w:pPr>
      <w:r>
        <w:separator/>
      </w:r>
    </w:p>
  </w:footnote>
  <w:footnote w:type="continuationSeparator" w:id="1">
    <w:p>
      <w:pPr>
        <w:ind w:left="1260" w:firstLine="10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1260" w:firstLine="10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100"/>
    <w:rsid w:val="000E3100"/>
    <w:rsid w:val="002C5A63"/>
    <w:rsid w:val="00346617"/>
    <w:rsid w:val="0047711D"/>
    <w:rsid w:val="004842E6"/>
    <w:rsid w:val="004B3838"/>
    <w:rsid w:val="00536356"/>
    <w:rsid w:val="005A2336"/>
    <w:rsid w:val="006303D7"/>
    <w:rsid w:val="00676573"/>
    <w:rsid w:val="006A525E"/>
    <w:rsid w:val="007048DA"/>
    <w:rsid w:val="0071692C"/>
    <w:rsid w:val="007344D3"/>
    <w:rsid w:val="00781944"/>
    <w:rsid w:val="008873DB"/>
    <w:rsid w:val="009A5130"/>
    <w:rsid w:val="00A7023F"/>
    <w:rsid w:val="00B23CCE"/>
    <w:rsid w:val="00B60141"/>
    <w:rsid w:val="00BA27A9"/>
    <w:rsid w:val="00BB146B"/>
    <w:rsid w:val="00C75407"/>
    <w:rsid w:val="00D11F78"/>
    <w:rsid w:val="00D37AF4"/>
    <w:rsid w:val="00D611CE"/>
    <w:rsid w:val="00D854E8"/>
    <w:rsid w:val="00D9230C"/>
    <w:rsid w:val="00E52E47"/>
    <w:rsid w:val="0539125F"/>
    <w:rsid w:val="06771AB6"/>
    <w:rsid w:val="07EB58BF"/>
    <w:rsid w:val="08C71F03"/>
    <w:rsid w:val="1B9511A6"/>
    <w:rsid w:val="2B27552F"/>
    <w:rsid w:val="2C4B7252"/>
    <w:rsid w:val="34D33DE7"/>
    <w:rsid w:val="36DA4DD8"/>
    <w:rsid w:val="37724AA4"/>
    <w:rsid w:val="3AF65B02"/>
    <w:rsid w:val="4989405E"/>
    <w:rsid w:val="4EAE4D21"/>
    <w:rsid w:val="6AA32E20"/>
    <w:rsid w:val="6BB7392C"/>
    <w:rsid w:val="6DF11295"/>
    <w:rsid w:val="71A20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600" w:leftChars="600" w:firstLine="49" w:firstLineChars="49"/>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ind w:left="0" w:leftChars="0" w:firstLine="0" w:firstLineChars="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ind w:left="0" w:leftChars="0" w:firstLine="0" w:firstLineChars="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customStyle="1" w:styleId="8">
    <w:name w:val="western"/>
    <w:basedOn w:val="1"/>
    <w:qFormat/>
    <w:uiPriority w:val="0"/>
    <w:pPr>
      <w:widowControl/>
      <w:spacing w:before="100" w:beforeAutospacing="1" w:after="100" w:afterAutospacing="1"/>
      <w:ind w:left="0" w:leftChars="0" w:firstLine="0" w:firstLineChars="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60D086-83B6-2144-B3CF-6A5B02863FD9}">
  <ds:schemaRefs/>
</ds:datastoreItem>
</file>

<file path=docProps/app.xml><?xml version="1.0" encoding="utf-8"?>
<Properties xmlns="http://schemas.openxmlformats.org/officeDocument/2006/extended-properties" xmlns:vt="http://schemas.openxmlformats.org/officeDocument/2006/docPropsVTypes">
  <Template>Normal</Template>
  <Pages>1</Pages>
  <Words>50</Words>
  <Characters>288</Characters>
  <Lines>2</Lines>
  <Paragraphs>1</Paragraphs>
  <TotalTime>3</TotalTime>
  <ScaleCrop>false</ScaleCrop>
  <LinksUpToDate>false</LinksUpToDate>
  <CharactersWithSpaces>337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2020-09-27T07:46:00Z</dcterms:created>
  <dc:creator>e</dc:creator>
  <cp:lastModifiedBy>黎云梦</cp:lastModifiedBy>
  <dcterms:modified xsi:type="dcterms:W3CDTF">2021-11-25T15:15:39Z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9F47A4FB6C3142EAA124F6814DA83E98</vt:lpwstr>
  </property>
</Properties>
</file>